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spacing w:line="276" w:lineRule="auto"/>
        <w:rPr>
          <w:b/>
          <w:bCs/>
        </w:rPr>
      </w:pPr>
      <w:r>
        <w:rPr>
          <w:b/>
          <w:bCs/>
          <w:szCs w:val="28"/>
          <w:highlight w:val="none"/>
        </w:rPr>
      </w: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603320" cy="9047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895049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2603320" cy="9046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4.99pt;height:71.24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  <w:r>
        <w:rPr>
          <w:b/>
          <w:bCs/>
          <w:szCs w:val="28"/>
          <w:highlight w:val="none"/>
        </w:rPr>
      </w:r>
      <w:r>
        <w:rPr>
          <w:b/>
          <w:bCs/>
          <w:szCs w:val="28"/>
          <w:highlight w:val="none"/>
        </w:rPr>
      </w:r>
    </w:p>
    <w:p>
      <w:pPr>
        <w:ind w:firstLine="567"/>
        <w:jc w:val="center"/>
        <w:spacing w:line="276" w:lineRule="auto"/>
        <w:rPr>
          <w:b/>
          <w:bCs/>
          <w:highlight w:val="none"/>
        </w:rPr>
      </w:pPr>
      <w:r>
        <w:rPr>
          <w:b/>
          <w:bCs/>
          <w:szCs w:val="28"/>
          <w:highlight w:val="none"/>
        </w:rPr>
      </w:r>
      <w:r>
        <w:rPr>
          <w:b/>
          <w:bCs/>
          <w:szCs w:val="28"/>
          <w:highlight w:val="none"/>
        </w:rPr>
      </w:r>
    </w:p>
    <w:p>
      <w:pPr>
        <w:ind w:firstLine="567"/>
        <w:jc w:val="center"/>
        <w:spacing w:line="276" w:lineRule="auto"/>
        <w:rPr>
          <w:b/>
          <w:bCs/>
          <w:highlight w:val="none"/>
        </w:rPr>
      </w:pPr>
      <w:r>
        <w:rPr>
          <w:b/>
          <w:bCs/>
          <w:szCs w:val="28"/>
          <w:highlight w:val="none"/>
        </w:rPr>
      </w:r>
      <w:r>
        <w:rPr>
          <w:b/>
          <w:bCs/>
          <w:szCs w:val="28"/>
          <w:highlight w:val="none"/>
        </w:rPr>
        <w:t xml:space="preserve">«Проверь свои объекты»: удобный сервис Росреестра</w:t>
      </w:r>
      <w:r>
        <w:rPr>
          <w:b/>
          <w:bCs/>
        </w:rPr>
      </w:r>
      <w:r>
        <w:rPr>
          <w:b/>
          <w:bCs/>
          <w:highlight w:val="none"/>
        </w:rPr>
      </w:r>
    </w:p>
    <w:p>
      <w:pPr>
        <w:ind w:firstLine="567"/>
        <w:jc w:val="both"/>
        <w:spacing w:line="276" w:lineRule="auto"/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62"/>
        <w:ind w:firstLine="567"/>
        <w:jc w:val="both"/>
        <w:spacing w:line="276" w:lineRule="auto"/>
        <w:rPr>
          <w:highlight w:val="none"/>
        </w:rPr>
      </w:pPr>
      <w:r>
        <w:rPr>
          <w:szCs w:val="28"/>
        </w:rPr>
        <w:t xml:space="preserve">Для осуществления государственной регистрации прав на объекты недвижимости гражданин вправе </w:t>
      </w:r>
      <w:r>
        <w:rPr>
          <w:szCs w:val="28"/>
        </w:rPr>
        <w:t xml:space="preserve">обратиться</w:t>
      </w:r>
      <w:r>
        <w:rPr>
          <w:szCs w:val="28"/>
        </w:rPr>
        <w:t xml:space="preserve"> </w:t>
      </w:r>
      <w:r>
        <w:rPr>
          <w:szCs w:val="28"/>
        </w:rPr>
        <w:t xml:space="preserve">с соответствующим заявлением </w:t>
      </w:r>
      <w:r>
        <w:rPr>
          <w:szCs w:val="28"/>
        </w:rPr>
        <w:t xml:space="preserve">лично либо подать документы в электронном виде. На территории Волгоградской области прием документов на государственную регистрацию прав в виде документов на бумажном носителе осуществляют </w:t>
      </w:r>
      <w:r>
        <w:rPr>
          <w:szCs w:val="28"/>
        </w:rPr>
        <w:t xml:space="preserve">филиал ППК «Роскадастр» по Волгоградской области и любой из офисов многофункциональных центров предоставления государственных и муниципальных услуг.</w:t>
      </w:r>
      <w:r>
        <w:rPr>
          <w:szCs w:val="28"/>
        </w:rPr>
      </w:r>
      <w:r>
        <w:rPr>
          <w:highlight w:val="none"/>
        </w:rPr>
      </w:r>
    </w:p>
    <w:p>
      <w:pPr>
        <w:pStyle w:val="862"/>
        <w:ind w:firstLine="567"/>
        <w:jc w:val="both"/>
        <w:spacing w:line="276" w:lineRule="auto"/>
      </w:pPr>
      <w:r>
        <w:rPr>
          <w:szCs w:val="28"/>
        </w:rPr>
        <w:t xml:space="preserve">Заявление в форме электронных документов, заверенных усиленной квалифицированной</w:t>
      </w:r>
      <w:r>
        <w:rPr>
          <w:szCs w:val="28"/>
        </w:rPr>
        <w:t xml:space="preserve"> электронной</w:t>
      </w:r>
      <w:r>
        <w:rPr>
          <w:szCs w:val="28"/>
        </w:rPr>
        <w:t xml:space="preserve"> подписью заявителя, представляется на официальном сайте Росреестра в личном кабинете с использованием подтвержденной учетной записи, зарегистрированной в Единой системе идентификации и аутентификации на портале государственных услуг (http://gosuslugi.ru).</w:t>
      </w:r>
      <w:r/>
    </w:p>
    <w:p>
      <w:pPr>
        <w:pStyle w:val="862"/>
        <w:ind w:firstLine="567"/>
        <w:jc w:val="both"/>
        <w:spacing w:line="276" w:lineRule="auto"/>
        <w:rPr>
          <w:highlight w:val="none"/>
        </w:rPr>
      </w:pPr>
      <w:r>
        <w:rPr>
          <w:szCs w:val="28"/>
        </w:rPr>
        <w:t xml:space="preserve">На основании пункта 1 статьи 18 Фед</w:t>
      </w:r>
      <w:r>
        <w:rPr>
          <w:szCs w:val="28"/>
        </w:rPr>
        <w:t xml:space="preserve">ерального закона от 13.07.2015</w:t>
        <w:br/>
      </w:r>
      <w:r>
        <w:rPr>
          <w:szCs w:val="28"/>
        </w:rPr>
        <w:t xml:space="preserve">№</w:t>
      </w:r>
      <w:r>
        <w:rPr>
          <w:szCs w:val="28"/>
        </w:rPr>
        <w:t xml:space="preserve"> 218-ФЗ «О государственной рег</w:t>
      </w:r>
      <w:r>
        <w:rPr>
          <w:szCs w:val="28"/>
        </w:rPr>
        <w:t xml:space="preserve">истрации недвижимости» (далее - Закон о недвижимости) к заявлению о государственной регистрации прав прилагаются документы, являющиеся основанием для осуществления государственной регистрации прав, которые указаны в части 2 статьи 14 Закона о недвижимости.</w:t>
      </w:r>
      <w:r>
        <w:rPr>
          <w:highlight w:val="none"/>
        </w:rPr>
      </w:r>
      <w:r>
        <w:rPr>
          <w:highlight w:val="none"/>
        </w:rPr>
      </w:r>
    </w:p>
    <w:p>
      <w:pPr>
        <w:pStyle w:val="862"/>
        <w:ind w:firstLine="567"/>
        <w:jc w:val="both"/>
        <w:spacing w:line="276" w:lineRule="auto"/>
        <w:rPr>
          <w:szCs w:val="28"/>
        </w:rPr>
      </w:pPr>
      <w:r>
        <w:rPr>
          <w:szCs w:val="28"/>
        </w:rPr>
        <w:t xml:space="preserve">Управление обращает внимание, что решение о возможности проведения государственной регистрации может быть принято только после предоставления в регистрирующий орган необходимых документов и проведения их правовой экспертизы.</w:t>
      </w:r>
      <w:r>
        <w:rPr>
          <w:szCs w:val="28"/>
        </w:rPr>
      </w:r>
      <w:r>
        <w:rPr>
          <w:szCs w:val="28"/>
        </w:rPr>
      </w:r>
    </w:p>
    <w:p>
      <w:pPr>
        <w:ind w:firstLine="567"/>
        <w:jc w:val="both"/>
        <w:spacing w:line="276" w:lineRule="auto"/>
        <w:rPr>
          <w:highlight w:val="none"/>
          <w14:ligatures w14:val="none"/>
        </w:rPr>
      </w:pPr>
      <w:r>
        <w:rPr>
          <w:szCs w:val="28"/>
        </w:rPr>
        <w:t xml:space="preserve">К</w:t>
      </w:r>
      <w:r>
        <w:t xml:space="preserve">роме того, Росреестром </w:t>
      </w:r>
      <w:r>
        <w:t xml:space="preserve">посредством системы «Единый портал государственных и муниципальных услуг» (ЕПГУ) или «Госуслуги» </w:t>
      </w:r>
      <w:r>
        <w:t xml:space="preserve">реализуется </w:t>
      </w:r>
      <w:r>
        <w:t xml:space="preserve">проект «Проверь свои объекты»</w:t>
      </w:r>
      <w:r>
        <w:t xml:space="preserve">. В Личном кабинете пользователя на ЕПГУ собственники недвижимости могут осуществлять дополнительный контр</w:t>
      </w:r>
      <w:r>
        <w:t xml:space="preserve">оль за достоверностью сведений о своих объектах в Едином государственном реестре недвижимости (ЕГРН). Для того, чтобы увидеть свои объекты на ЕПГУ необходимо, чтобы права на эти объекты недвижимости были зарегистрированы в ЕГРН.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0"/>
        <w:jc w:val="both"/>
        <w:spacing w:before="72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 уважением,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Пресс-секретарь Управления Росреестра 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Волгоградской области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Mob: +7(937) 531-22-98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E-mail:</w:t>
      </w:r>
      <w:hyperlink r:id="rId11" w:tooltip="file:///run/user/595600331/fly-fm-vfs/smb/10.34.113.2/obmen/!07_%D0%9E%D0%9E%D0%9A/!!%D0%9E%D1%82%D0%BF%D1%83%D1%81%D0%BA%20%D0%97%D0%B0%D0%B1%D0%BE%D1%80%D0%BE%D0%B2%D1%81%D0%BA%D0%B0%D1%8F!/!!!%D0%A4%D0%95%D0%92%D0%A0%D0%90%D0%9B%D0%AC%20%D0%97%D0%90%D0%91%D0%9E%D0%A0%D0%9E%D0%92%D0%A1%D0%9A%D0%90%D0%AF!!!/14.02.25%20%D0%9F%D0%A2/zab.j@r34.rosreestr.ru" w:history="1">
        <w:r>
          <w:rPr>
            <w:rStyle w:val="879"/>
            <w:rFonts w:ascii="Times New Roman" w:hAnsi="Times New Roman" w:eastAsia="Times New Roman" w:cs="Times New Roman"/>
            <w:color w:val="0563c1"/>
            <w:sz w:val="28"/>
            <w:u w:val="single"/>
          </w:rPr>
          <w:t xml:space="preserve">zab.j@r34.rosreestr.ru</w:t>
        </w:r>
      </w:hyperlink>
      <w:r/>
      <w:r/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  <w:r>
        <w:rPr>
          <w:sz w:val="24"/>
        </w:rPr>
      </w:r>
      <w:r>
        <w:rPr>
          <w:sz w:val="22"/>
          <w:szCs w:val="28"/>
        </w:rPr>
      </w:r>
      <w:r>
        <w:rPr>
          <w:sz w:val="22"/>
          <w:szCs w:val="28"/>
        </w:rPr>
      </w:r>
      <w:r>
        <w:rPr>
          <w:sz w:val="22"/>
          <w:szCs w:val="28"/>
        </w:rPr>
      </w:r>
      <w:r>
        <w:rPr>
          <w:sz w:val="24"/>
        </w:rPr>
      </w:r>
      <w:r>
        <w:rPr>
          <w:sz w:val="22"/>
          <w:szCs w:val="28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850" w:bottom="255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imSun">
    <w:panose1 w:val="02000506000000020000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pStyle w:val="866"/>
      <w:isLgl w:val="false"/>
      <w:suff w:val="space"/>
      <w:lvlText w:val="1.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1.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rPr>
      <w:sz w:val="28"/>
      <w:szCs w:val="24"/>
      <w:lang w:val="ru-RU" w:eastAsia="ru-RU" w:bidi="ar-SA"/>
    </w:rPr>
  </w:style>
  <w:style w:type="character" w:styleId="863">
    <w:name w:val="Основной шрифт абзаца"/>
    <w:next w:val="863"/>
    <w:link w:val="862"/>
    <w:semiHidden/>
  </w:style>
  <w:style w:type="table" w:styleId="864">
    <w:name w:val="Обычная таблица"/>
    <w:next w:val="864"/>
    <w:link w:val="862"/>
    <w:semiHidden/>
    <w:tblPr/>
  </w:style>
  <w:style w:type="numbering" w:styleId="865">
    <w:name w:val="Нет списка"/>
    <w:next w:val="865"/>
    <w:link w:val="862"/>
    <w:semiHidden/>
  </w:style>
  <w:style w:type="paragraph" w:styleId="866">
    <w:name w:val="Умка"/>
    <w:basedOn w:val="862"/>
    <w:next w:val="866"/>
    <w:link w:val="862"/>
    <w:pPr>
      <w:numPr>
        <w:ilvl w:val="0"/>
        <w:numId w:val="5"/>
      </w:numPr>
    </w:pPr>
  </w:style>
  <w:style w:type="paragraph" w:styleId="867">
    <w:name w:val="Текст выноски"/>
    <w:basedOn w:val="862"/>
    <w:next w:val="867"/>
    <w:link w:val="862"/>
    <w:semiHidden/>
    <w:rPr>
      <w:rFonts w:ascii="Tahoma" w:hAnsi="Tahoma" w:cs="Tahoma"/>
      <w:sz w:val="16"/>
      <w:szCs w:val="16"/>
    </w:rPr>
  </w:style>
  <w:style w:type="paragraph" w:styleId="868">
    <w:name w:val="Знак Знак Знак Знак Знак Знак Знак"/>
    <w:basedOn w:val="862"/>
    <w:next w:val="868"/>
    <w:link w:val="862"/>
    <w:pPr>
      <w:jc w:val="both"/>
      <w:widowControl w:val="off"/>
    </w:pPr>
    <w:rPr>
      <w:rFonts w:ascii="Arial" w:hAnsi="Arial" w:eastAsia="SimSun" w:cs="Arial"/>
      <w:sz w:val="21"/>
      <w:szCs w:val="21"/>
      <w:lang w:val="en-US" w:eastAsia="zh-CN"/>
    </w:rPr>
  </w:style>
  <w:style w:type="paragraph" w:styleId="869">
    <w:name w:val="Основной текст 2"/>
    <w:basedOn w:val="862"/>
    <w:next w:val="869"/>
    <w:link w:val="862"/>
    <w:pPr>
      <w:spacing w:after="120" w:line="480" w:lineRule="auto"/>
    </w:pPr>
    <w:rPr>
      <w:sz w:val="20"/>
      <w:szCs w:val="20"/>
    </w:rPr>
  </w:style>
  <w:style w:type="paragraph" w:styleId="870">
    <w:name w:val="Основной текст с отступом"/>
    <w:basedOn w:val="862"/>
    <w:next w:val="870"/>
    <w:link w:val="862"/>
    <w:pPr>
      <w:ind w:left="283"/>
      <w:spacing w:after="120"/>
    </w:pPr>
  </w:style>
  <w:style w:type="paragraph" w:styleId="871">
    <w:name w:val=" Знак Знак Char Char"/>
    <w:basedOn w:val="862"/>
    <w:next w:val="871"/>
    <w:link w:val="862"/>
    <w:pPr>
      <w:jc w:val="both"/>
      <w:widowControl w:val="off"/>
    </w:pPr>
    <w:rPr>
      <w:rFonts w:ascii="Arial" w:hAnsi="Arial" w:eastAsia="SimSun" w:cs="Arial"/>
      <w:sz w:val="21"/>
      <w:lang w:val="en-US" w:eastAsia="zh-CN"/>
    </w:rPr>
  </w:style>
  <w:style w:type="paragraph" w:styleId="872">
    <w:name w:val="Знак Знак Char Char"/>
    <w:basedOn w:val="862"/>
    <w:next w:val="872"/>
    <w:link w:val="862"/>
    <w:pPr>
      <w:jc w:val="both"/>
      <w:widowControl w:val="off"/>
    </w:pPr>
    <w:rPr>
      <w:rFonts w:ascii="Arial" w:hAnsi="Arial" w:eastAsia="SimSun" w:cs="Arial"/>
      <w:sz w:val="21"/>
      <w:lang w:val="en-US" w:eastAsia="zh-CN"/>
    </w:rPr>
  </w:style>
  <w:style w:type="paragraph" w:styleId="873">
    <w:name w:val="Схема документа"/>
    <w:basedOn w:val="862"/>
    <w:next w:val="873"/>
    <w:link w:val="874"/>
    <w:rPr>
      <w:rFonts w:ascii="Tahoma" w:hAnsi="Tahoma" w:cs="Tahoma"/>
      <w:sz w:val="16"/>
      <w:szCs w:val="16"/>
    </w:rPr>
  </w:style>
  <w:style w:type="character" w:styleId="874">
    <w:name w:val="Схема документа Знак"/>
    <w:next w:val="874"/>
    <w:link w:val="873"/>
    <w:rPr>
      <w:rFonts w:ascii="Tahoma" w:hAnsi="Tahoma" w:cs="Tahoma"/>
      <w:sz w:val="16"/>
      <w:szCs w:val="16"/>
    </w:rPr>
  </w:style>
  <w:style w:type="paragraph" w:styleId="875">
    <w:name w:val="Верхний колонтитул"/>
    <w:basedOn w:val="862"/>
    <w:next w:val="875"/>
    <w:link w:val="876"/>
    <w:uiPriority w:val="99"/>
    <w:pPr>
      <w:tabs>
        <w:tab w:val="center" w:pos="4677" w:leader="none"/>
        <w:tab w:val="right" w:pos="9355" w:leader="none"/>
      </w:tabs>
    </w:pPr>
  </w:style>
  <w:style w:type="character" w:styleId="876">
    <w:name w:val="Верхний колонтитул Знак"/>
    <w:next w:val="876"/>
    <w:link w:val="875"/>
    <w:uiPriority w:val="99"/>
    <w:rPr>
      <w:sz w:val="28"/>
      <w:szCs w:val="24"/>
    </w:rPr>
  </w:style>
  <w:style w:type="paragraph" w:styleId="877">
    <w:name w:val="Нижний колонтитул"/>
    <w:basedOn w:val="862"/>
    <w:next w:val="877"/>
    <w:link w:val="878"/>
    <w:pPr>
      <w:tabs>
        <w:tab w:val="center" w:pos="4677" w:leader="none"/>
        <w:tab w:val="right" w:pos="9355" w:leader="none"/>
      </w:tabs>
    </w:pPr>
  </w:style>
  <w:style w:type="character" w:styleId="878">
    <w:name w:val="Нижний колонтитул Знак"/>
    <w:next w:val="878"/>
    <w:link w:val="877"/>
    <w:rPr>
      <w:sz w:val="28"/>
      <w:szCs w:val="24"/>
    </w:rPr>
  </w:style>
  <w:style w:type="character" w:styleId="879">
    <w:name w:val="Гиперссылка"/>
    <w:next w:val="879"/>
    <w:link w:val="862"/>
    <w:rPr>
      <w:color w:val="000080"/>
      <w:u w:val="single"/>
      <w:lang w:val="en-US" w:bidi="en-US"/>
    </w:rPr>
  </w:style>
  <w:style w:type="paragraph" w:styleId="880">
    <w:name w:val=" Знак Знак Знак Знак"/>
    <w:basedOn w:val="862"/>
    <w:next w:val="880"/>
    <w:link w:val="862"/>
    <w:pPr>
      <w:jc w:val="both"/>
      <w:widowControl w:val="off"/>
    </w:pPr>
    <w:rPr>
      <w:rFonts w:ascii="Arial" w:hAnsi="Arial" w:eastAsia="SimSun" w:cs="Arial"/>
      <w:sz w:val="21"/>
      <w:lang w:val="en-US" w:eastAsia="zh-CN"/>
    </w:rPr>
  </w:style>
  <w:style w:type="paragraph" w:styleId="881">
    <w:name w:val="Абзац списка"/>
    <w:basedOn w:val="862"/>
    <w:next w:val="881"/>
    <w:link w:val="86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file:///run/user/595600331/fly-fm-vfs/smb/10.34.113.2/obmen/!07_%D0%9E%D0%9E%D0%9A/!!%D0%9E%D1%82%D0%BF%D1%83%D1%81%D0%BA%20%D0%97%D0%B0%D0%B1%D0%BE%D1%80%D0%BE%D0%B2%D1%81%D0%BA%D0%B0%D1%8F!/!!!%D0%A4%D0%95%D0%92%D0%A0%D0%90%D0%9B%D0%AC%20%D0%97%D0%90%D0%91%D0%9E%D0%A0%D0%9E%D0%92%D0%A1%D0%9A%D0%90%D0%AF!!!/14.02.25%20%D0%9F%D0%A2/zab.j@r34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FRS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ФЕДЕРАЛЬНОЙ СЛУЖБЫ ГОСУДАРСТВЕННОЙ РЕГИСТРАЦИИ, КАДАСТРА И КАРТОГРАФИИ ПО ВОЛГОГРАДСКОЙ ОБЛАСТИ</dc:title>
  <dc:creator>feya</dc:creator>
  <cp:revision>21</cp:revision>
  <dcterms:created xsi:type="dcterms:W3CDTF">2023-07-14T11:23:00Z</dcterms:created>
  <dcterms:modified xsi:type="dcterms:W3CDTF">2025-02-14T13:10:02Z</dcterms:modified>
  <cp:version>1048576</cp:version>
</cp:coreProperties>
</file>